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828"/>
      </w:tblGrid>
      <w:tr w:rsidR="00E21548" w:rsidTr="00E21548">
        <w:tc>
          <w:tcPr>
            <w:tcW w:w="8828" w:type="dxa"/>
          </w:tcPr>
          <w:p w:rsidR="00E21548" w:rsidRDefault="00E21548" w:rsidP="00410D42">
            <w:pPr>
              <w:spacing w:after="120"/>
              <w:jc w:val="both"/>
              <w:rPr>
                <w:rFonts w:ascii="Calibri" w:eastAsia="Cambria" w:hAnsi="Calibri" w:cs="Calibri"/>
                <w:sz w:val="24"/>
                <w:szCs w:val="24"/>
              </w:rPr>
            </w:pPr>
            <w:r>
              <w:rPr>
                <w:rFonts w:ascii="Calibri" w:eastAsia="Cambria" w:hAnsi="Calibri" w:cs="Calibri"/>
                <w:sz w:val="24"/>
                <w:szCs w:val="24"/>
              </w:rPr>
              <w:t xml:space="preserve">Nombre del Comité:  </w:t>
            </w:r>
            <w:r w:rsidRPr="00926590">
              <w:rPr>
                <w:rFonts w:ascii="Calibri" w:eastAsia="Cambria" w:hAnsi="Calibri" w:cs="Calibri"/>
                <w:sz w:val="24"/>
                <w:szCs w:val="24"/>
              </w:rPr>
              <w:t xml:space="preserve">Comité </w:t>
            </w:r>
            <w:r>
              <w:rPr>
                <w:rFonts w:ascii="Calibri" w:eastAsia="Cambria" w:hAnsi="Calibri" w:cs="Calibri"/>
                <w:sz w:val="24"/>
                <w:szCs w:val="24"/>
              </w:rPr>
              <w:t xml:space="preserve">de </w:t>
            </w:r>
            <w:r w:rsidRPr="00926590">
              <w:rPr>
                <w:rFonts w:ascii="Calibri" w:eastAsia="Cambria" w:hAnsi="Calibri" w:cs="Calibri"/>
                <w:sz w:val="24"/>
                <w:szCs w:val="24"/>
              </w:rPr>
              <w:t xml:space="preserve">Medición y </w:t>
            </w:r>
            <w:r>
              <w:rPr>
                <w:rFonts w:ascii="Calibri" w:eastAsia="Cambria" w:hAnsi="Calibri" w:cs="Calibri"/>
                <w:sz w:val="24"/>
                <w:szCs w:val="24"/>
              </w:rPr>
              <w:t>E</w:t>
            </w:r>
            <w:r w:rsidRPr="00926590">
              <w:rPr>
                <w:rFonts w:ascii="Calibri" w:eastAsia="Cambria" w:hAnsi="Calibri" w:cs="Calibri"/>
                <w:sz w:val="24"/>
                <w:szCs w:val="24"/>
              </w:rPr>
              <w:t xml:space="preserve">valuación de la Política </w:t>
            </w:r>
            <w:r>
              <w:rPr>
                <w:rFonts w:ascii="Calibri" w:eastAsia="Cambria" w:hAnsi="Calibri" w:cs="Calibri"/>
                <w:sz w:val="24"/>
                <w:szCs w:val="24"/>
              </w:rPr>
              <w:t>de Desarrollo Urbano y Vivienda</w:t>
            </w:r>
          </w:p>
        </w:tc>
      </w:tr>
    </w:tbl>
    <w:p w:rsidR="00E21548" w:rsidRDefault="00E21548" w:rsidP="00E21548">
      <w:pPr>
        <w:spacing w:after="120" w:line="240" w:lineRule="auto"/>
        <w:jc w:val="both"/>
        <w:rPr>
          <w:rFonts w:ascii="Calibri" w:eastAsia="Cambria" w:hAnsi="Calibri" w:cs="Calibri"/>
          <w:sz w:val="24"/>
          <w:szCs w:val="24"/>
        </w:rPr>
      </w:pPr>
    </w:p>
    <w:tbl>
      <w:tblPr>
        <w:tblStyle w:val="Tablaconcuadrcula"/>
        <w:tblW w:w="0" w:type="auto"/>
        <w:tblLook w:val="04A0" w:firstRow="1" w:lastRow="0" w:firstColumn="1" w:lastColumn="0" w:noHBand="0" w:noVBand="1"/>
      </w:tblPr>
      <w:tblGrid>
        <w:gridCol w:w="2355"/>
        <w:gridCol w:w="6473"/>
      </w:tblGrid>
      <w:tr w:rsidR="00E21548" w:rsidTr="00410D42">
        <w:tc>
          <w:tcPr>
            <w:tcW w:w="2547" w:type="dxa"/>
          </w:tcPr>
          <w:p w:rsidR="00E21548" w:rsidRDefault="00E21548" w:rsidP="00410D42">
            <w:pPr>
              <w:spacing w:after="120"/>
              <w:jc w:val="both"/>
              <w:rPr>
                <w:rFonts w:ascii="Calibri" w:eastAsia="Cambria" w:hAnsi="Calibri" w:cs="Calibri"/>
                <w:sz w:val="24"/>
                <w:szCs w:val="24"/>
              </w:rPr>
            </w:pPr>
            <w:r>
              <w:rPr>
                <w:rFonts w:ascii="Calibri" w:eastAsia="Cambria" w:hAnsi="Calibri" w:cs="Calibri"/>
                <w:sz w:val="24"/>
                <w:szCs w:val="24"/>
              </w:rPr>
              <w:t xml:space="preserve">Periodo </w:t>
            </w:r>
          </w:p>
        </w:tc>
        <w:tc>
          <w:tcPr>
            <w:tcW w:w="7415" w:type="dxa"/>
          </w:tcPr>
          <w:p w:rsidR="00E21548" w:rsidRPr="007F2AC2" w:rsidRDefault="00E21548" w:rsidP="00410D42">
            <w:pPr>
              <w:spacing w:after="120"/>
              <w:jc w:val="both"/>
              <w:rPr>
                <w:rFonts w:eastAsia="Cambria" w:cs="Calibri"/>
                <w:sz w:val="24"/>
                <w:szCs w:val="24"/>
              </w:rPr>
            </w:pPr>
            <w:r w:rsidRPr="007F2AC2">
              <w:rPr>
                <w:sz w:val="24"/>
                <w:szCs w:val="24"/>
              </w:rPr>
              <w:t>Enero – Junio 2014</w:t>
            </w:r>
          </w:p>
        </w:tc>
      </w:tr>
      <w:tr w:rsidR="00E21548" w:rsidTr="00410D42">
        <w:tc>
          <w:tcPr>
            <w:tcW w:w="2547" w:type="dxa"/>
          </w:tcPr>
          <w:p w:rsidR="00E21548" w:rsidRDefault="00E21548" w:rsidP="00410D42">
            <w:pPr>
              <w:spacing w:after="120"/>
              <w:jc w:val="both"/>
              <w:rPr>
                <w:rFonts w:ascii="Calibri" w:eastAsia="Cambria" w:hAnsi="Calibri" w:cs="Calibri"/>
                <w:sz w:val="24"/>
                <w:szCs w:val="24"/>
              </w:rPr>
            </w:pPr>
            <w:r>
              <w:rPr>
                <w:rFonts w:ascii="Calibri" w:eastAsia="Cambria" w:hAnsi="Calibri" w:cs="Calibri"/>
                <w:sz w:val="24"/>
                <w:szCs w:val="24"/>
              </w:rPr>
              <w:t>Temas y acciones abordados</w:t>
            </w:r>
          </w:p>
        </w:tc>
        <w:tc>
          <w:tcPr>
            <w:tcW w:w="7415" w:type="dxa"/>
          </w:tcPr>
          <w:p w:rsidR="00E21548" w:rsidRPr="007F2AC2" w:rsidRDefault="00E21548" w:rsidP="00E21548">
            <w:pPr>
              <w:numPr>
                <w:ilvl w:val="0"/>
                <w:numId w:val="1"/>
              </w:numPr>
              <w:tabs>
                <w:tab w:val="clear" w:pos="720"/>
                <w:tab w:val="num" w:pos="174"/>
              </w:tabs>
              <w:spacing w:after="0" w:line="240" w:lineRule="auto"/>
              <w:ind w:left="315" w:hanging="218"/>
              <w:rPr>
                <w:sz w:val="24"/>
                <w:szCs w:val="24"/>
              </w:rPr>
            </w:pPr>
            <w:r w:rsidRPr="007F2AC2">
              <w:rPr>
                <w:sz w:val="24"/>
                <w:szCs w:val="24"/>
              </w:rPr>
              <w:t>Diseño de un conjunto de indicadores complementarios para medir los avances y resultados de la nueva política de desarrollo urbano y vivienda.</w:t>
            </w:r>
          </w:p>
          <w:p w:rsidR="00E21548" w:rsidRPr="007F2AC2" w:rsidRDefault="00E21548" w:rsidP="00E21548">
            <w:pPr>
              <w:numPr>
                <w:ilvl w:val="0"/>
                <w:numId w:val="1"/>
              </w:numPr>
              <w:tabs>
                <w:tab w:val="clear" w:pos="720"/>
                <w:tab w:val="num" w:pos="174"/>
              </w:tabs>
              <w:spacing w:after="0" w:line="240" w:lineRule="auto"/>
              <w:ind w:left="315" w:hanging="218"/>
              <w:rPr>
                <w:sz w:val="24"/>
                <w:szCs w:val="24"/>
              </w:rPr>
            </w:pPr>
            <w:r w:rsidRPr="007F2AC2">
              <w:rPr>
                <w:sz w:val="24"/>
                <w:szCs w:val="24"/>
              </w:rPr>
              <w:t>Promoción de la rendición de cuentas y transparentar las acciones de los diferentes actores involucrados en su implementación.</w:t>
            </w:r>
          </w:p>
          <w:p w:rsidR="00E21548" w:rsidRPr="007F2AC2" w:rsidRDefault="00E21548" w:rsidP="00E21548">
            <w:pPr>
              <w:numPr>
                <w:ilvl w:val="0"/>
                <w:numId w:val="1"/>
              </w:numPr>
              <w:tabs>
                <w:tab w:val="clear" w:pos="720"/>
                <w:tab w:val="num" w:pos="174"/>
              </w:tabs>
              <w:spacing w:after="120" w:line="240" w:lineRule="auto"/>
              <w:ind w:left="315" w:hanging="218"/>
              <w:jc w:val="both"/>
              <w:rPr>
                <w:rFonts w:eastAsia="Cambria" w:cs="Calibri"/>
                <w:sz w:val="24"/>
                <w:szCs w:val="24"/>
              </w:rPr>
            </w:pPr>
            <w:r w:rsidRPr="007F2AC2">
              <w:rPr>
                <w:sz w:val="24"/>
                <w:szCs w:val="24"/>
              </w:rPr>
              <w:t>Generación de herramientas que ayuden a comparar la calidad de vida y el desarrollo de las ciudades.</w:t>
            </w:r>
          </w:p>
          <w:p w:rsidR="00E21548" w:rsidRPr="007F2AC2" w:rsidRDefault="00E21548" w:rsidP="00410D42">
            <w:pPr>
              <w:spacing w:after="120"/>
              <w:jc w:val="both"/>
              <w:rPr>
                <w:rFonts w:eastAsia="Cambria" w:cs="Calibri"/>
                <w:sz w:val="24"/>
                <w:szCs w:val="24"/>
              </w:rPr>
            </w:pPr>
          </w:p>
        </w:tc>
      </w:tr>
      <w:tr w:rsidR="00E21548" w:rsidTr="00410D42">
        <w:tc>
          <w:tcPr>
            <w:tcW w:w="2547" w:type="dxa"/>
          </w:tcPr>
          <w:p w:rsidR="00E21548" w:rsidRDefault="00E21548" w:rsidP="00410D42">
            <w:pPr>
              <w:spacing w:after="120"/>
              <w:jc w:val="both"/>
              <w:rPr>
                <w:rFonts w:ascii="Calibri" w:eastAsia="Cambria" w:hAnsi="Calibri" w:cs="Calibri"/>
                <w:sz w:val="24"/>
                <w:szCs w:val="24"/>
              </w:rPr>
            </w:pPr>
            <w:r>
              <w:rPr>
                <w:rFonts w:ascii="Calibri" w:eastAsia="Cambria" w:hAnsi="Calibri" w:cs="Calibri"/>
                <w:sz w:val="24"/>
                <w:szCs w:val="24"/>
              </w:rPr>
              <w:t>Participantes</w:t>
            </w:r>
          </w:p>
        </w:tc>
        <w:tc>
          <w:tcPr>
            <w:tcW w:w="7415" w:type="dxa"/>
          </w:tcPr>
          <w:p w:rsidR="00E21548" w:rsidRPr="00DA12D5" w:rsidRDefault="00E21548" w:rsidP="00410D42">
            <w:pPr>
              <w:spacing w:after="120"/>
              <w:jc w:val="both"/>
              <w:rPr>
                <w:rFonts w:ascii="Calibri" w:eastAsia="Cambria" w:hAnsi="Calibri" w:cs="Calibri"/>
                <w:sz w:val="24"/>
                <w:szCs w:val="24"/>
              </w:rPr>
            </w:pPr>
            <w:r w:rsidRPr="00DA12D5">
              <w:rPr>
                <w:rFonts w:ascii="Calibri" w:eastAsia="Cambria" w:hAnsi="Calibri" w:cs="Calibri"/>
                <w:sz w:val="24"/>
                <w:szCs w:val="24"/>
              </w:rPr>
              <w:t>Presidente: Gabriela Alarcón, Directora de Desarrollo Urbano del Instituto Mexicano para la Competitividad, A.C. (IMCO)</w:t>
            </w:r>
          </w:p>
          <w:p w:rsidR="00E21548" w:rsidRPr="00DA12D5" w:rsidRDefault="00E21548" w:rsidP="00410D42">
            <w:pPr>
              <w:spacing w:after="120"/>
              <w:jc w:val="both"/>
              <w:rPr>
                <w:rFonts w:ascii="Calibri" w:eastAsia="Cambria" w:hAnsi="Calibri" w:cs="Calibri"/>
                <w:sz w:val="24"/>
                <w:szCs w:val="24"/>
              </w:rPr>
            </w:pPr>
            <w:r w:rsidRPr="00DA12D5">
              <w:rPr>
                <w:rFonts w:ascii="Calibri" w:eastAsia="Cambria" w:hAnsi="Calibri" w:cs="Calibri"/>
                <w:sz w:val="24"/>
                <w:szCs w:val="24"/>
              </w:rPr>
              <w:t>Secretario técnico: Janet de Luna Jiménez, Coordinadora de Asesores de la Subsecretaría de Desarrollo Urbano y Vivienda, SEDATU</w:t>
            </w:r>
          </w:p>
          <w:p w:rsidR="00E21548" w:rsidRPr="00DA12D5" w:rsidRDefault="00E21548" w:rsidP="00410D42">
            <w:pPr>
              <w:spacing w:after="120"/>
              <w:jc w:val="both"/>
              <w:rPr>
                <w:rFonts w:ascii="Calibri" w:eastAsia="Cambria" w:hAnsi="Calibri" w:cs="Calibri"/>
                <w:sz w:val="24"/>
                <w:szCs w:val="24"/>
              </w:rPr>
            </w:pPr>
            <w:r w:rsidRPr="00DA12D5">
              <w:rPr>
                <w:rFonts w:ascii="Calibri" w:eastAsia="Cambria" w:hAnsi="Calibri" w:cs="Calibri"/>
                <w:sz w:val="24"/>
                <w:szCs w:val="24"/>
              </w:rPr>
              <w:t>Integrantes:</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Eduardo Torres, Subdirector Gral. de Análisis y Estudios de Vivienda, CONAVI</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Aida Roel Ruiz, Directora, RUV</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Eric Rodríguez, Director de Coordinación Técnica, Subsistema Nacional de Información Demográfica y Social; Secretario Técnico del  Comité Técnico Especializado de Información de Vivienda, INEGI</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Dolores Franco, Coordinadora Nacional del Programa de ONU para Asentamientos Humanos en México, ONU Hábitat</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Guillermo Velasco, Coordinador de Programas, Centro Mario Molina</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Rodrigo Díaz González, Dir. De Políticas Públicas, CTS-</w:t>
            </w:r>
            <w:proofErr w:type="spellStart"/>
            <w:r w:rsidRPr="00DA12D5">
              <w:rPr>
                <w:rFonts w:ascii="Calibri" w:eastAsia="Cambria" w:hAnsi="Calibri" w:cs="Calibri"/>
                <w:sz w:val="24"/>
                <w:szCs w:val="24"/>
              </w:rPr>
              <w:t>Embarq</w:t>
            </w:r>
            <w:proofErr w:type="spellEnd"/>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lastRenderedPageBreak/>
              <w:t>•</w:t>
            </w:r>
            <w:r w:rsidRPr="00DA12D5">
              <w:rPr>
                <w:rFonts w:ascii="Calibri" w:eastAsia="Cambria" w:hAnsi="Calibri" w:cs="Calibri"/>
                <w:sz w:val="24"/>
                <w:szCs w:val="24"/>
              </w:rPr>
              <w:tab/>
              <w:t xml:space="preserve">Francisco García-Mier,  Dir. General, CONURBA </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Oscar Rodríguez, Socio Director, Taller Abierto de Arquitectura y Urbanismo</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 xml:space="preserve">Sara </w:t>
            </w:r>
            <w:proofErr w:type="spellStart"/>
            <w:r w:rsidRPr="00DA12D5">
              <w:rPr>
                <w:rFonts w:ascii="Calibri" w:eastAsia="Cambria" w:hAnsi="Calibri" w:cs="Calibri"/>
                <w:sz w:val="24"/>
                <w:szCs w:val="24"/>
              </w:rPr>
              <w:t>Topelson</w:t>
            </w:r>
            <w:proofErr w:type="spellEnd"/>
            <w:r w:rsidRPr="00DA12D5">
              <w:rPr>
                <w:rFonts w:ascii="Calibri" w:eastAsia="Cambria" w:hAnsi="Calibri" w:cs="Calibri"/>
                <w:sz w:val="24"/>
                <w:szCs w:val="24"/>
              </w:rPr>
              <w:t xml:space="preserve"> de </w:t>
            </w:r>
            <w:proofErr w:type="spellStart"/>
            <w:r w:rsidRPr="00DA12D5">
              <w:rPr>
                <w:rFonts w:ascii="Calibri" w:eastAsia="Cambria" w:hAnsi="Calibri" w:cs="Calibri"/>
                <w:sz w:val="24"/>
                <w:szCs w:val="24"/>
              </w:rPr>
              <w:t>Grinberg</w:t>
            </w:r>
            <w:proofErr w:type="spellEnd"/>
            <w:r w:rsidRPr="00DA12D5">
              <w:rPr>
                <w:rFonts w:ascii="Calibri" w:eastAsia="Cambria" w:hAnsi="Calibri" w:cs="Calibri"/>
                <w:sz w:val="24"/>
                <w:szCs w:val="24"/>
              </w:rPr>
              <w:t xml:space="preserve">, Socia Directora de </w:t>
            </w:r>
            <w:proofErr w:type="spellStart"/>
            <w:r w:rsidRPr="00DA12D5">
              <w:rPr>
                <w:rFonts w:ascii="Calibri" w:eastAsia="Cambria" w:hAnsi="Calibri" w:cs="Calibri"/>
                <w:sz w:val="24"/>
                <w:szCs w:val="24"/>
              </w:rPr>
              <w:t>Grinberg</w:t>
            </w:r>
            <w:proofErr w:type="spellEnd"/>
            <w:r w:rsidRPr="00DA12D5">
              <w:rPr>
                <w:rFonts w:ascii="Calibri" w:eastAsia="Cambria" w:hAnsi="Calibri" w:cs="Calibri"/>
                <w:sz w:val="24"/>
                <w:szCs w:val="24"/>
              </w:rPr>
              <w:t xml:space="preserve"> &amp; </w:t>
            </w:r>
            <w:proofErr w:type="spellStart"/>
            <w:r w:rsidRPr="00DA12D5">
              <w:rPr>
                <w:rFonts w:ascii="Calibri" w:eastAsia="Cambria" w:hAnsi="Calibri" w:cs="Calibri"/>
                <w:sz w:val="24"/>
                <w:szCs w:val="24"/>
              </w:rPr>
              <w:t>Topelson</w:t>
            </w:r>
            <w:proofErr w:type="spellEnd"/>
            <w:r w:rsidRPr="00DA12D5">
              <w:rPr>
                <w:rFonts w:ascii="Calibri" w:eastAsia="Cambria" w:hAnsi="Calibri" w:cs="Calibri"/>
                <w:sz w:val="24"/>
                <w:szCs w:val="24"/>
              </w:rPr>
              <w:t xml:space="preserve"> Arquitectos.</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Alejandro Reyes Torres, Gerente de Vivienda y Desarrollo Urbano de la CMIC</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Emiliano Cruz León, Consultor Independiente</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José Antonio Hernández Balbuena, Gerente de Economía y Financiamiento de la CMIC</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 xml:space="preserve">Ana </w:t>
            </w:r>
            <w:proofErr w:type="spellStart"/>
            <w:r w:rsidRPr="00DA12D5">
              <w:rPr>
                <w:rFonts w:ascii="Calibri" w:eastAsia="Cambria" w:hAnsi="Calibri" w:cs="Calibri"/>
                <w:sz w:val="24"/>
                <w:szCs w:val="24"/>
              </w:rPr>
              <w:t>Ogarrio</w:t>
            </w:r>
            <w:proofErr w:type="spellEnd"/>
            <w:r w:rsidRPr="00DA12D5">
              <w:rPr>
                <w:rFonts w:ascii="Calibri" w:eastAsia="Cambria" w:hAnsi="Calibri" w:cs="Calibri"/>
                <w:sz w:val="24"/>
                <w:szCs w:val="24"/>
              </w:rPr>
              <w:t>, Consultora del Instituto Mexicano de la Competitividad</w:t>
            </w:r>
          </w:p>
          <w:p w:rsidR="00E21548" w:rsidRPr="00DA12D5"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Jack Zaga, Investigador del Instituto Mexicano de la Competitividad</w:t>
            </w:r>
          </w:p>
          <w:p w:rsidR="00E21548" w:rsidRDefault="00E21548" w:rsidP="00410D42">
            <w:pPr>
              <w:spacing w:after="120"/>
              <w:ind w:left="454"/>
              <w:jc w:val="both"/>
              <w:rPr>
                <w:rFonts w:ascii="Calibri" w:eastAsia="Cambria" w:hAnsi="Calibri" w:cs="Calibri"/>
                <w:sz w:val="24"/>
                <w:szCs w:val="24"/>
              </w:rPr>
            </w:pPr>
            <w:r w:rsidRPr="00DA12D5">
              <w:rPr>
                <w:rFonts w:ascii="Calibri" w:eastAsia="Cambria" w:hAnsi="Calibri" w:cs="Calibri"/>
                <w:sz w:val="24"/>
                <w:szCs w:val="24"/>
              </w:rPr>
              <w:t>•</w:t>
            </w:r>
            <w:r w:rsidRPr="00DA12D5">
              <w:rPr>
                <w:rFonts w:ascii="Calibri" w:eastAsia="Cambria" w:hAnsi="Calibri" w:cs="Calibri"/>
                <w:sz w:val="24"/>
                <w:szCs w:val="24"/>
              </w:rPr>
              <w:tab/>
              <w:t xml:space="preserve">Oscar Rodríguez, Taller Abierto de Arquitectura y Urbanismo </w:t>
            </w:r>
          </w:p>
          <w:p w:rsidR="00E21548" w:rsidRDefault="00E21548" w:rsidP="00410D42">
            <w:pPr>
              <w:spacing w:after="120"/>
              <w:jc w:val="both"/>
              <w:rPr>
                <w:rFonts w:ascii="Calibri" w:eastAsia="Cambria" w:hAnsi="Calibri" w:cs="Calibri"/>
                <w:sz w:val="24"/>
                <w:szCs w:val="24"/>
              </w:rPr>
            </w:pPr>
          </w:p>
        </w:tc>
      </w:tr>
      <w:tr w:rsidR="00E21548" w:rsidTr="00410D42">
        <w:tc>
          <w:tcPr>
            <w:tcW w:w="2547" w:type="dxa"/>
          </w:tcPr>
          <w:p w:rsidR="00E21548" w:rsidRDefault="00E21548" w:rsidP="00410D42">
            <w:pPr>
              <w:spacing w:after="120"/>
              <w:jc w:val="both"/>
              <w:rPr>
                <w:rFonts w:ascii="Calibri" w:eastAsia="Cambria" w:hAnsi="Calibri" w:cs="Calibri"/>
                <w:sz w:val="24"/>
                <w:szCs w:val="24"/>
              </w:rPr>
            </w:pPr>
            <w:r>
              <w:rPr>
                <w:rFonts w:ascii="Calibri" w:eastAsia="Cambria" w:hAnsi="Calibri" w:cs="Calibri"/>
                <w:sz w:val="24"/>
                <w:szCs w:val="24"/>
              </w:rPr>
              <w:lastRenderedPageBreak/>
              <w:t>Gestión</w:t>
            </w:r>
          </w:p>
        </w:tc>
        <w:tc>
          <w:tcPr>
            <w:tcW w:w="7415" w:type="dxa"/>
          </w:tcPr>
          <w:p w:rsidR="00E21548" w:rsidRPr="007F2AC2" w:rsidRDefault="00E21548" w:rsidP="00410D42">
            <w:pPr>
              <w:spacing w:after="120"/>
              <w:jc w:val="both"/>
              <w:rPr>
                <w:rFonts w:ascii="Calibri" w:eastAsia="Cambria" w:hAnsi="Calibri" w:cs="Calibri"/>
                <w:sz w:val="24"/>
                <w:szCs w:val="24"/>
              </w:rPr>
            </w:pPr>
            <w:r w:rsidRPr="007F2AC2">
              <w:rPr>
                <w:rFonts w:ascii="Calibri" w:eastAsia="Cambria" w:hAnsi="Calibri" w:cs="Calibri"/>
                <w:sz w:val="24"/>
                <w:szCs w:val="24"/>
              </w:rPr>
              <w:t>A lo largo de doce sesiones sostenidas cada jueves, el Comité de medición y evaluación de la política de Desarrollo Urbano y Vivienda ha analizado y propuesto diversas alternativas de indicadores con la finalidad de poder cumplir con el objetivo plasmado en su nombre.</w:t>
            </w:r>
          </w:p>
          <w:p w:rsidR="00E21548" w:rsidRPr="007F2AC2" w:rsidRDefault="00E21548" w:rsidP="00410D42">
            <w:pPr>
              <w:spacing w:after="120"/>
              <w:jc w:val="both"/>
              <w:rPr>
                <w:rFonts w:ascii="Calibri" w:eastAsia="Cambria" w:hAnsi="Calibri" w:cs="Calibri"/>
                <w:sz w:val="24"/>
                <w:szCs w:val="24"/>
              </w:rPr>
            </w:pPr>
            <w:r w:rsidRPr="007F2AC2">
              <w:rPr>
                <w:rFonts w:ascii="Calibri" w:eastAsia="Cambria" w:hAnsi="Calibri" w:cs="Calibri"/>
                <w:sz w:val="24"/>
                <w:szCs w:val="24"/>
              </w:rPr>
              <w:t>En las sesiones iniciales cada uno de los integrantes expuso sus inquietudes y propuestas respecto a los elementos y fenómenos que valían la pena ser medidos. Posteriormente se organizaron equipos responsables de presentar propuestas de indicadores por cada objetivo, estrategia y línea de acción de los Programas Nacionales de Desarrollo Urbano y de Vivienda.</w:t>
            </w:r>
          </w:p>
          <w:p w:rsidR="00E21548" w:rsidRPr="007F2AC2" w:rsidRDefault="00E21548" w:rsidP="00410D42">
            <w:pPr>
              <w:spacing w:after="120"/>
              <w:jc w:val="both"/>
              <w:rPr>
                <w:rFonts w:ascii="Calibri" w:eastAsia="Cambria" w:hAnsi="Calibri" w:cs="Calibri"/>
                <w:sz w:val="24"/>
                <w:szCs w:val="24"/>
              </w:rPr>
            </w:pPr>
            <w:r w:rsidRPr="007F2AC2">
              <w:rPr>
                <w:rFonts w:ascii="Calibri" w:eastAsia="Cambria" w:hAnsi="Calibri" w:cs="Calibri"/>
                <w:sz w:val="24"/>
                <w:szCs w:val="24"/>
              </w:rPr>
              <w:t xml:space="preserve">Finalmente en las últimas sesiones se analizó cada uno de los indicadores propuestos y fueron eliminados y/o modificados </w:t>
            </w:r>
            <w:r w:rsidRPr="007F2AC2">
              <w:rPr>
                <w:rFonts w:ascii="Calibri" w:eastAsia="Cambria" w:hAnsi="Calibri" w:cs="Calibri"/>
                <w:sz w:val="24"/>
                <w:szCs w:val="24"/>
              </w:rPr>
              <w:lastRenderedPageBreak/>
              <w:t>aquellos que no resultaron relevantes para la evaluación de la políticas en cuestión.</w:t>
            </w:r>
          </w:p>
          <w:p w:rsidR="00E21548" w:rsidRDefault="00E21548" w:rsidP="00410D42">
            <w:pPr>
              <w:spacing w:after="120"/>
              <w:jc w:val="both"/>
              <w:rPr>
                <w:rFonts w:ascii="Calibri" w:eastAsia="Cambria" w:hAnsi="Calibri" w:cs="Calibri"/>
                <w:sz w:val="24"/>
                <w:szCs w:val="24"/>
              </w:rPr>
            </w:pPr>
            <w:r w:rsidRPr="007F2AC2">
              <w:rPr>
                <w:rFonts w:ascii="Calibri" w:eastAsia="Cambria" w:hAnsi="Calibri" w:cs="Calibri"/>
                <w:sz w:val="24"/>
                <w:szCs w:val="24"/>
              </w:rPr>
              <w:t>Está por iniciar la etapa de desarrollo de algoritmos y la verificación de disponibilidad de información, que permitirá definir el sistema de indicadores que se propondrá al pleno del Consejo.</w:t>
            </w:r>
          </w:p>
          <w:p w:rsidR="00E21548" w:rsidRDefault="00E21548" w:rsidP="00410D42">
            <w:pPr>
              <w:spacing w:after="120"/>
              <w:jc w:val="both"/>
              <w:rPr>
                <w:rFonts w:ascii="Calibri" w:eastAsia="Cambria" w:hAnsi="Calibri" w:cs="Calibri"/>
                <w:sz w:val="24"/>
                <w:szCs w:val="24"/>
              </w:rPr>
            </w:pPr>
          </w:p>
        </w:tc>
      </w:tr>
      <w:tr w:rsidR="00E21548" w:rsidTr="00410D42">
        <w:tc>
          <w:tcPr>
            <w:tcW w:w="2547" w:type="dxa"/>
          </w:tcPr>
          <w:p w:rsidR="00E21548" w:rsidRDefault="00E21548" w:rsidP="00410D42">
            <w:pPr>
              <w:spacing w:after="120"/>
              <w:jc w:val="both"/>
              <w:rPr>
                <w:rFonts w:ascii="Calibri" w:eastAsia="Cambria" w:hAnsi="Calibri" w:cs="Calibri"/>
                <w:sz w:val="24"/>
                <w:szCs w:val="24"/>
              </w:rPr>
            </w:pPr>
            <w:r>
              <w:rPr>
                <w:rFonts w:ascii="Calibri" w:eastAsia="Cambria" w:hAnsi="Calibri" w:cs="Calibri"/>
                <w:sz w:val="24"/>
                <w:szCs w:val="24"/>
              </w:rPr>
              <w:lastRenderedPageBreak/>
              <w:t>Galería fotográfica</w:t>
            </w:r>
          </w:p>
        </w:tc>
        <w:tc>
          <w:tcPr>
            <w:tcW w:w="7415" w:type="dxa"/>
          </w:tcPr>
          <w:p w:rsidR="00E21548" w:rsidRDefault="00E21548" w:rsidP="00410D42">
            <w:pPr>
              <w:spacing w:after="120"/>
              <w:jc w:val="both"/>
              <w:rPr>
                <w:rFonts w:ascii="Calibri" w:eastAsia="Cambria" w:hAnsi="Calibri" w:cs="Calibri"/>
                <w:sz w:val="24"/>
                <w:szCs w:val="24"/>
              </w:rPr>
            </w:pPr>
            <w:r>
              <w:rPr>
                <w:rFonts w:ascii="Calibri" w:eastAsia="Cambria" w:hAnsi="Calibri" w:cs="Calibri"/>
                <w:sz w:val="24"/>
                <w:szCs w:val="24"/>
              </w:rPr>
              <w:t>No se anexa material fotográfico.</w:t>
            </w:r>
          </w:p>
          <w:p w:rsidR="00E21548" w:rsidRDefault="00E21548" w:rsidP="00410D42">
            <w:pPr>
              <w:spacing w:after="120"/>
              <w:jc w:val="both"/>
              <w:rPr>
                <w:rFonts w:ascii="Calibri" w:eastAsia="Cambria" w:hAnsi="Calibri" w:cs="Calibri"/>
                <w:sz w:val="24"/>
                <w:szCs w:val="24"/>
              </w:rPr>
            </w:pPr>
          </w:p>
        </w:tc>
      </w:tr>
      <w:tr w:rsidR="00E21548" w:rsidTr="00410D42">
        <w:tc>
          <w:tcPr>
            <w:tcW w:w="2547" w:type="dxa"/>
          </w:tcPr>
          <w:p w:rsidR="00E21548" w:rsidRDefault="00E21548" w:rsidP="00410D42">
            <w:pPr>
              <w:spacing w:after="120"/>
              <w:jc w:val="both"/>
              <w:rPr>
                <w:rFonts w:ascii="Calibri" w:eastAsia="Cambria" w:hAnsi="Calibri" w:cs="Calibri"/>
                <w:sz w:val="24"/>
                <w:szCs w:val="24"/>
              </w:rPr>
            </w:pPr>
            <w:r>
              <w:rPr>
                <w:rFonts w:ascii="Calibri" w:eastAsia="Cambria" w:hAnsi="Calibri" w:cs="Calibri"/>
                <w:sz w:val="24"/>
                <w:szCs w:val="24"/>
              </w:rPr>
              <w:t>Participación específica de los actores sociales</w:t>
            </w:r>
          </w:p>
        </w:tc>
        <w:tc>
          <w:tcPr>
            <w:tcW w:w="7415" w:type="dxa"/>
          </w:tcPr>
          <w:p w:rsidR="00E21548" w:rsidRPr="00926590" w:rsidRDefault="00E21548" w:rsidP="00410D42">
            <w:pPr>
              <w:spacing w:after="120"/>
              <w:jc w:val="both"/>
              <w:rPr>
                <w:rFonts w:ascii="Calibri" w:eastAsia="Cambria" w:hAnsi="Calibri" w:cs="Calibri"/>
                <w:sz w:val="24"/>
                <w:szCs w:val="24"/>
              </w:rPr>
            </w:pPr>
            <w:r w:rsidRPr="00926590">
              <w:rPr>
                <w:rFonts w:ascii="Calibri" w:eastAsia="Cambria" w:hAnsi="Calibri" w:cs="Calibri"/>
                <w:sz w:val="24"/>
                <w:szCs w:val="24"/>
              </w:rPr>
              <w:t xml:space="preserve">El jueves 10 de julio, la Presidenta del Comité presentó al Subsecretario Alejandro Nieto una propuesta preliminar de 35 indicadores para evaluar el Programa Nacional de Vivienda 2014-2018 y 35 indicadores para el Programa Nacional de Desarrollo Urbano 2014-2018. </w:t>
            </w:r>
          </w:p>
          <w:p w:rsidR="00E21548" w:rsidRDefault="00E21548" w:rsidP="00410D42">
            <w:pPr>
              <w:spacing w:after="120"/>
              <w:jc w:val="both"/>
              <w:rPr>
                <w:rFonts w:ascii="Calibri" w:eastAsia="Cambria" w:hAnsi="Calibri" w:cs="Calibri"/>
                <w:sz w:val="24"/>
                <w:szCs w:val="24"/>
              </w:rPr>
            </w:pPr>
            <w:r w:rsidRPr="00926590">
              <w:rPr>
                <w:rFonts w:ascii="Calibri" w:eastAsia="Cambria" w:hAnsi="Calibri" w:cs="Calibri"/>
                <w:sz w:val="24"/>
                <w:szCs w:val="24"/>
              </w:rPr>
              <w:t>Este documento aún no representa la propuesta definitiva del Comité, pero se puede destacar que incluye la necesidad de medir la densidad poblacional de los asentamientos humanos, el reparto modal del transporte, la expansión de las manchas urbanas, la consolida</w:t>
            </w:r>
            <w:r>
              <w:rPr>
                <w:rFonts w:ascii="Calibri" w:eastAsia="Cambria" w:hAnsi="Calibri" w:cs="Calibri"/>
                <w:sz w:val="24"/>
                <w:szCs w:val="24"/>
              </w:rPr>
              <w:t>ción de</w:t>
            </w:r>
            <w:r w:rsidRPr="00926590">
              <w:rPr>
                <w:rFonts w:ascii="Calibri" w:eastAsia="Cambria" w:hAnsi="Calibri" w:cs="Calibri"/>
                <w:sz w:val="24"/>
                <w:szCs w:val="24"/>
              </w:rPr>
              <w:t xml:space="preserve"> las ciudades para mejorar la calidad de vida de los habitantes, la calidad de los servicios públicos, la implementación de instrumentos normativos fiscales y administrativos para la gestión del suelo, la calidad de las viviendas, entre otros. (Archivo adjunto</w:t>
            </w:r>
            <w:r>
              <w:rPr>
                <w:rFonts w:ascii="Calibri" w:eastAsia="Cambria" w:hAnsi="Calibri" w:cs="Calibri"/>
                <w:sz w:val="24"/>
                <w:szCs w:val="24"/>
              </w:rPr>
              <w:t xml:space="preserve"> CO1. Propuesta preliminar</w:t>
            </w:r>
            <w:r w:rsidRPr="00926590">
              <w:rPr>
                <w:rFonts w:ascii="Calibri" w:eastAsia="Cambria" w:hAnsi="Calibri" w:cs="Calibri"/>
                <w:sz w:val="24"/>
                <w:szCs w:val="24"/>
              </w:rPr>
              <w:t>)</w:t>
            </w:r>
          </w:p>
          <w:p w:rsidR="00E21548" w:rsidRDefault="00E21548" w:rsidP="00410D42">
            <w:pPr>
              <w:spacing w:after="120"/>
              <w:jc w:val="both"/>
              <w:rPr>
                <w:rFonts w:ascii="Calibri" w:eastAsia="Cambria" w:hAnsi="Calibri" w:cs="Calibri"/>
                <w:sz w:val="24"/>
                <w:szCs w:val="24"/>
              </w:rPr>
            </w:pPr>
          </w:p>
        </w:tc>
      </w:tr>
      <w:tr w:rsidR="00E21548" w:rsidTr="00410D42">
        <w:tc>
          <w:tcPr>
            <w:tcW w:w="2547" w:type="dxa"/>
          </w:tcPr>
          <w:p w:rsidR="00E21548" w:rsidRDefault="00E21548" w:rsidP="00410D42">
            <w:pPr>
              <w:spacing w:after="120"/>
              <w:jc w:val="both"/>
              <w:rPr>
                <w:rFonts w:ascii="Calibri" w:eastAsia="Cambria" w:hAnsi="Calibri" w:cs="Calibri"/>
                <w:sz w:val="24"/>
                <w:szCs w:val="24"/>
              </w:rPr>
            </w:pPr>
            <w:r>
              <w:rPr>
                <w:rFonts w:ascii="Calibri" w:eastAsia="Cambria" w:hAnsi="Calibri" w:cs="Calibri"/>
                <w:sz w:val="24"/>
                <w:szCs w:val="24"/>
              </w:rPr>
              <w:t>Atención y resultados de la institución</w:t>
            </w:r>
          </w:p>
        </w:tc>
        <w:tc>
          <w:tcPr>
            <w:tcW w:w="7415" w:type="dxa"/>
          </w:tcPr>
          <w:p w:rsidR="00E21548" w:rsidRDefault="00E21548" w:rsidP="00410D42">
            <w:pPr>
              <w:spacing w:after="120"/>
              <w:jc w:val="both"/>
              <w:rPr>
                <w:rFonts w:ascii="Calibri" w:eastAsia="Cambria" w:hAnsi="Calibri" w:cs="Calibri"/>
                <w:sz w:val="24"/>
                <w:szCs w:val="24"/>
              </w:rPr>
            </w:pPr>
            <w:r w:rsidRPr="00926590">
              <w:rPr>
                <w:rFonts w:ascii="Calibri" w:eastAsia="Cambria" w:hAnsi="Calibri" w:cs="Calibri"/>
                <w:sz w:val="24"/>
                <w:szCs w:val="24"/>
              </w:rPr>
              <w:t>Durante los próximos meses se realizará un taller para discutir la propuesta preliminar del comité con autoridades del sector y expertos en la generación de información. Como resultado de este taller se espera tener una propuesta final de indicadores y de fuentes de información para presentarla al pleno del Consejo en su próxima sesión.</w:t>
            </w:r>
          </w:p>
          <w:p w:rsidR="00E21548" w:rsidRDefault="00E21548" w:rsidP="00410D42">
            <w:pPr>
              <w:spacing w:after="120"/>
              <w:jc w:val="both"/>
              <w:rPr>
                <w:rFonts w:ascii="Calibri" w:eastAsia="Cambria" w:hAnsi="Calibri" w:cs="Calibri"/>
                <w:sz w:val="24"/>
                <w:szCs w:val="24"/>
              </w:rPr>
            </w:pPr>
            <w:bookmarkStart w:id="0" w:name="_GoBack"/>
            <w:bookmarkEnd w:id="0"/>
          </w:p>
        </w:tc>
      </w:tr>
    </w:tbl>
    <w:p w:rsidR="00E21548" w:rsidRDefault="00E21548" w:rsidP="00E21548">
      <w:pPr>
        <w:spacing w:after="120" w:line="240" w:lineRule="auto"/>
        <w:jc w:val="both"/>
        <w:rPr>
          <w:rFonts w:ascii="Calibri" w:eastAsia="Cambria" w:hAnsi="Calibri" w:cs="Calibri"/>
          <w:sz w:val="24"/>
          <w:szCs w:val="24"/>
        </w:rPr>
      </w:pPr>
    </w:p>
    <w:p w:rsidR="00CB7843" w:rsidRDefault="00CB7843"/>
    <w:sectPr w:rsidR="00CB784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C8C" w:rsidRDefault="00100C8C" w:rsidP="00E21548">
      <w:pPr>
        <w:spacing w:after="0" w:line="240" w:lineRule="auto"/>
      </w:pPr>
      <w:r>
        <w:separator/>
      </w:r>
    </w:p>
  </w:endnote>
  <w:endnote w:type="continuationSeparator" w:id="0">
    <w:p w:rsidR="00100C8C" w:rsidRDefault="00100C8C" w:rsidP="00E2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C8C" w:rsidRDefault="00100C8C" w:rsidP="00E21548">
      <w:pPr>
        <w:spacing w:after="0" w:line="240" w:lineRule="auto"/>
      </w:pPr>
      <w:r>
        <w:separator/>
      </w:r>
    </w:p>
  </w:footnote>
  <w:footnote w:type="continuationSeparator" w:id="0">
    <w:p w:rsidR="00100C8C" w:rsidRDefault="00100C8C" w:rsidP="00E21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8" w:rsidRDefault="00E21548" w:rsidP="00E21548">
    <w:pPr>
      <w:pStyle w:val="Encabezado"/>
      <w:rPr>
        <w:noProof/>
        <w:lang w:eastAsia="es-MX"/>
      </w:rPr>
    </w:pPr>
    <w:r>
      <w:rPr>
        <w:rFonts w:ascii="Tahoma" w:eastAsia="Times New Roman" w:hAnsi="Tahoma" w:cs="Tahoma"/>
        <w:noProof/>
        <w:color w:val="000000"/>
        <w:sz w:val="20"/>
        <w:szCs w:val="20"/>
        <w:lang w:eastAsia="es-MX"/>
      </w:rPr>
      <w:drawing>
        <wp:inline distT="0" distB="0" distL="0" distR="0" wp14:anchorId="22E2069D" wp14:editId="54248309">
          <wp:extent cx="3267710" cy="688622"/>
          <wp:effectExtent l="0" t="0" r="0" b="0"/>
          <wp:docPr id="1" name="Imagen 1" descr="cid:b6a49722-0724-4769-b2dc-9e7a73868e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6a49722-0724-4769-b2dc-9e7a73868e6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00831" cy="695602"/>
                  </a:xfrm>
                  <a:prstGeom prst="rect">
                    <a:avLst/>
                  </a:prstGeom>
                  <a:noFill/>
                  <a:ln>
                    <a:noFill/>
                  </a:ln>
                </pic:spPr>
              </pic:pic>
            </a:graphicData>
          </a:graphic>
        </wp:inline>
      </w:drawing>
    </w:r>
    <w:r>
      <w:rPr>
        <w:noProof/>
        <w:lang w:eastAsia="es-MX"/>
      </w:rPr>
      <w:tab/>
    </w:r>
    <w:r w:rsidRPr="001119E7">
      <w:rPr>
        <w:noProof/>
        <w:sz w:val="28"/>
        <w:szCs w:val="28"/>
        <w:lang w:eastAsia="es-MX"/>
      </w:rPr>
      <w:t>Participación Ciudadana</w:t>
    </w:r>
  </w:p>
  <w:p w:rsidR="00E21548" w:rsidRDefault="00E215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B3E48"/>
    <w:multiLevelType w:val="hybridMultilevel"/>
    <w:tmpl w:val="1B2E2C22"/>
    <w:lvl w:ilvl="0" w:tplc="73829C00">
      <w:start w:val="1"/>
      <w:numFmt w:val="bullet"/>
      <w:lvlText w:val="•"/>
      <w:lvlJc w:val="left"/>
      <w:pPr>
        <w:tabs>
          <w:tab w:val="num" w:pos="720"/>
        </w:tabs>
        <w:ind w:left="720" w:hanging="360"/>
      </w:pPr>
      <w:rPr>
        <w:rFonts w:ascii="Arial" w:hAnsi="Arial" w:hint="default"/>
      </w:rPr>
    </w:lvl>
    <w:lvl w:ilvl="1" w:tplc="34F4C5EE">
      <w:start w:val="1"/>
      <w:numFmt w:val="bullet"/>
      <w:lvlText w:val="•"/>
      <w:lvlJc w:val="left"/>
      <w:pPr>
        <w:tabs>
          <w:tab w:val="num" w:pos="1440"/>
        </w:tabs>
        <w:ind w:left="1440" w:hanging="360"/>
      </w:pPr>
      <w:rPr>
        <w:rFonts w:ascii="Arial" w:hAnsi="Arial" w:hint="default"/>
      </w:rPr>
    </w:lvl>
    <w:lvl w:ilvl="2" w:tplc="BA20CE8C" w:tentative="1">
      <w:start w:val="1"/>
      <w:numFmt w:val="bullet"/>
      <w:lvlText w:val="•"/>
      <w:lvlJc w:val="left"/>
      <w:pPr>
        <w:tabs>
          <w:tab w:val="num" w:pos="2160"/>
        </w:tabs>
        <w:ind w:left="2160" w:hanging="360"/>
      </w:pPr>
      <w:rPr>
        <w:rFonts w:ascii="Arial" w:hAnsi="Arial" w:hint="default"/>
      </w:rPr>
    </w:lvl>
    <w:lvl w:ilvl="3" w:tplc="5CE4FFA2" w:tentative="1">
      <w:start w:val="1"/>
      <w:numFmt w:val="bullet"/>
      <w:lvlText w:val="•"/>
      <w:lvlJc w:val="left"/>
      <w:pPr>
        <w:tabs>
          <w:tab w:val="num" w:pos="2880"/>
        </w:tabs>
        <w:ind w:left="2880" w:hanging="360"/>
      </w:pPr>
      <w:rPr>
        <w:rFonts w:ascii="Arial" w:hAnsi="Arial" w:hint="default"/>
      </w:rPr>
    </w:lvl>
    <w:lvl w:ilvl="4" w:tplc="AFC49516" w:tentative="1">
      <w:start w:val="1"/>
      <w:numFmt w:val="bullet"/>
      <w:lvlText w:val="•"/>
      <w:lvlJc w:val="left"/>
      <w:pPr>
        <w:tabs>
          <w:tab w:val="num" w:pos="3600"/>
        </w:tabs>
        <w:ind w:left="3600" w:hanging="360"/>
      </w:pPr>
      <w:rPr>
        <w:rFonts w:ascii="Arial" w:hAnsi="Arial" w:hint="default"/>
      </w:rPr>
    </w:lvl>
    <w:lvl w:ilvl="5" w:tplc="0FF23278" w:tentative="1">
      <w:start w:val="1"/>
      <w:numFmt w:val="bullet"/>
      <w:lvlText w:val="•"/>
      <w:lvlJc w:val="left"/>
      <w:pPr>
        <w:tabs>
          <w:tab w:val="num" w:pos="4320"/>
        </w:tabs>
        <w:ind w:left="4320" w:hanging="360"/>
      </w:pPr>
      <w:rPr>
        <w:rFonts w:ascii="Arial" w:hAnsi="Arial" w:hint="default"/>
      </w:rPr>
    </w:lvl>
    <w:lvl w:ilvl="6" w:tplc="9F68EE1A" w:tentative="1">
      <w:start w:val="1"/>
      <w:numFmt w:val="bullet"/>
      <w:lvlText w:val="•"/>
      <w:lvlJc w:val="left"/>
      <w:pPr>
        <w:tabs>
          <w:tab w:val="num" w:pos="5040"/>
        </w:tabs>
        <w:ind w:left="5040" w:hanging="360"/>
      </w:pPr>
      <w:rPr>
        <w:rFonts w:ascii="Arial" w:hAnsi="Arial" w:hint="default"/>
      </w:rPr>
    </w:lvl>
    <w:lvl w:ilvl="7" w:tplc="E9561AF2" w:tentative="1">
      <w:start w:val="1"/>
      <w:numFmt w:val="bullet"/>
      <w:lvlText w:val="•"/>
      <w:lvlJc w:val="left"/>
      <w:pPr>
        <w:tabs>
          <w:tab w:val="num" w:pos="5760"/>
        </w:tabs>
        <w:ind w:left="5760" w:hanging="360"/>
      </w:pPr>
      <w:rPr>
        <w:rFonts w:ascii="Arial" w:hAnsi="Arial" w:hint="default"/>
      </w:rPr>
    </w:lvl>
    <w:lvl w:ilvl="8" w:tplc="F73439B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48"/>
    <w:rsid w:val="00100C8C"/>
    <w:rsid w:val="00CB7843"/>
    <w:rsid w:val="00E215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76184-8F3C-4007-8905-08C606F2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54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1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215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548"/>
  </w:style>
  <w:style w:type="paragraph" w:styleId="Piedepgina">
    <w:name w:val="footer"/>
    <w:basedOn w:val="Normal"/>
    <w:link w:val="PiedepginaCar"/>
    <w:uiPriority w:val="99"/>
    <w:unhideWhenUsed/>
    <w:rsid w:val="00E215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b6a49722-0724-4769-b2dc-9e7a73868e6a"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665</Words>
  <Characters>3660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Antonio Pirez San Sebastian</dc:creator>
  <cp:keywords/>
  <dc:description/>
  <cp:lastModifiedBy>Rafael Antonio Pirez San Sebastian</cp:lastModifiedBy>
  <cp:revision>1</cp:revision>
  <dcterms:created xsi:type="dcterms:W3CDTF">2014-07-30T18:45:00Z</dcterms:created>
  <dcterms:modified xsi:type="dcterms:W3CDTF">2014-07-30T18:50:00Z</dcterms:modified>
</cp:coreProperties>
</file>